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FA" w:rsidRDefault="002E6AFA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2E6AFA" w:rsidRDefault="002E6AFA">
      <w:pPr>
        <w:pStyle w:val="ConsPlusNormal"/>
        <w:spacing w:before="220"/>
        <w:jc w:val="both"/>
      </w:pPr>
      <w:r>
        <w:t>Республики Беларусь 17 ноября 2011 г. N 8/24396</w:t>
      </w:r>
    </w:p>
    <w:p w:rsidR="002E6AFA" w:rsidRDefault="002E6A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6AFA" w:rsidRDefault="002E6AFA">
      <w:pPr>
        <w:pStyle w:val="ConsPlusNormal"/>
      </w:pPr>
    </w:p>
    <w:p w:rsidR="002E6AFA" w:rsidRDefault="002E6AFA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2E6AFA" w:rsidRDefault="002E6AFA">
      <w:pPr>
        <w:pStyle w:val="ConsPlusTitle"/>
        <w:jc w:val="center"/>
      </w:pPr>
      <w:r>
        <w:t>19 октября 2011 г. N 273</w:t>
      </w:r>
    </w:p>
    <w:p w:rsidR="002E6AFA" w:rsidRDefault="002E6AFA">
      <w:pPr>
        <w:pStyle w:val="ConsPlusTitle"/>
        <w:jc w:val="center"/>
      </w:pPr>
    </w:p>
    <w:p w:rsidR="002E6AFA" w:rsidRDefault="002E6AFA">
      <w:pPr>
        <w:pStyle w:val="ConsPlusTitle"/>
        <w:jc w:val="center"/>
      </w:pPr>
      <w:r>
        <w:t>О ЕЖЕМЕСЯЧНОЙ КОМПЕНСАЦИИ РАСХОДОВ НА ПРИОБРЕТЕНИЕ УЧЕБНОЙ И МЕТОДИЧЕСКОЙ ЛИТЕРАТУРЫ ПЕДАГОГИЧЕСКИМ РАБОТНИКАМ</w:t>
      </w:r>
    </w:p>
    <w:p w:rsidR="002E6AFA" w:rsidRDefault="002E6A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E6A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6AFA" w:rsidRDefault="002E6A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04.10.2019 </w:t>
            </w:r>
            <w:hyperlink r:id="rId4" w:history="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2E6AFA" w:rsidRDefault="002E6A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5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E6AFA" w:rsidRDefault="002E6AFA">
      <w:pPr>
        <w:pStyle w:val="ConsPlusNormal"/>
      </w:pPr>
    </w:p>
    <w:p w:rsidR="002E6AFA" w:rsidRDefault="002E6AFA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подпункта 1.11 пункта 1 статьи 52</w:t>
        </w:r>
      </w:hyperlink>
      <w:r>
        <w:t xml:space="preserve"> Кодекса Республики Беларусь об образовании Министерство образования Республики Беларусь ПОСТАНОВЛЯЕТ:</w:t>
      </w:r>
    </w:p>
    <w:p w:rsidR="002E6AFA" w:rsidRDefault="002E6AFA">
      <w:pPr>
        <w:pStyle w:val="ConsPlusNormal"/>
        <w:jc w:val="both"/>
      </w:pPr>
      <w:r>
        <w:t xml:space="preserve">(преамбула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Минобразования от 30.09.2022 N 351)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1. Установить, что из средств республиканского или местных бюджетов осуществляется ежемесячная компенсация расходов на приобретение учебной и методической литературы педагогическим работникам (далее, если не установлено иное, - компенсация) учреждений, финансируемых из соответствующих бюджетов, в размере 24,5 процента от базовой величины, устанавливаемой Советом Министров Республики Беларусь.</w:t>
      </w:r>
    </w:p>
    <w:p w:rsidR="002E6AFA" w:rsidRDefault="002E6AFA">
      <w:pPr>
        <w:pStyle w:val="ConsPlusNormal"/>
        <w:jc w:val="both"/>
      </w:pPr>
      <w:r>
        <w:t xml:space="preserve">(в ред. постановлений Минобразования от 04.10.2019 </w:t>
      </w:r>
      <w:hyperlink r:id="rId8" w:history="1">
        <w:r>
          <w:rPr>
            <w:color w:val="0000FF"/>
          </w:rPr>
          <w:t>N 161</w:t>
        </w:r>
      </w:hyperlink>
      <w:r>
        <w:t xml:space="preserve">, от 30.09.2022 </w:t>
      </w:r>
      <w:hyperlink r:id="rId9" w:history="1">
        <w:r>
          <w:rPr>
            <w:color w:val="0000FF"/>
          </w:rPr>
          <w:t>N 351</w:t>
        </w:r>
      </w:hyperlink>
      <w:r>
        <w:t>)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2. Определить, что: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2.1. компенсация производится по основному месту работы при условии занятия должности служащего (выполнения педагогической нагрузки) не менее чем 0,5 штатной единицы (ставки).</w:t>
      </w:r>
    </w:p>
    <w:p w:rsidR="002E6AFA" w:rsidRDefault="002E6AF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Минобразования от 30.09.2022 N 351)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Выплата компенсации осуществляется за текущий месяц одновременно с выплатой заработной платы за предыдущий месяц;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2.2. право на получение компенсации у вновь принятого на работу в учреждение педагогического работника наступает с 1-го числа месяца, следующего за месяцем принятия на работу.</w:t>
      </w:r>
    </w:p>
    <w:p w:rsidR="002E6AFA" w:rsidRDefault="002E6AF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Минобразования от 30.09.2022 N 351)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При увольнении педагогического работника до окончания месяца, за который выплачена компенсация, ее удержание не производится.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3.1. компенсация сохраняется:</w:t>
      </w:r>
    </w:p>
    <w:p w:rsidR="002E6AFA" w:rsidRDefault="002E6AF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Минобразования от 30.09.2022 N 351)</w:t>
      </w:r>
    </w:p>
    <w:p w:rsidR="002E6AFA" w:rsidRDefault="002E6AFA">
      <w:pPr>
        <w:pStyle w:val="ConsPlusNormal"/>
        <w:spacing w:before="220"/>
        <w:ind w:firstLine="540"/>
        <w:jc w:val="both"/>
      </w:pPr>
      <w:bookmarkStart w:id="0" w:name="P26"/>
      <w:bookmarkEnd w:id="0"/>
      <w:r>
        <w:t>независимо от нахождения педагогического работника в трудовом отпуске, отпуске по беременности и родам, отпуске по уходу за ребенком до достижения им возраста трех лет;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в случае отсутствия педагогического работника на работе по причине временной нетрудоспособности;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 xml:space="preserve">педагогическим работникам, осваивающим содержание образовательной программы повышения квалификации руководящих работников и специалистов, образовательной программы </w:t>
      </w:r>
      <w:r>
        <w:lastRenderedPageBreak/>
        <w:t>переподготовки руководящих работников и специалистов, имеющих высшее образование, образовательной программы переподготовки руководящих работников и специалистов, имеющих среднее специальное образование, образовательной программы стажировки руководящих работников и специалистов;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 xml:space="preserve">3.2. компенсация за месяц, в котором педагогический работник находился в социальном отпуске, не указанном в </w:t>
      </w:r>
      <w:hyperlink w:anchor="P26" w:history="1">
        <w:r>
          <w:rPr>
            <w:color w:val="0000FF"/>
          </w:rPr>
          <w:t>абзаце втором подпункта 3.1</w:t>
        </w:r>
      </w:hyperlink>
      <w:r>
        <w:t xml:space="preserve"> настоящего пункта, выплачивается пропорционально отработанному времени;</w:t>
      </w:r>
    </w:p>
    <w:p w:rsidR="002E6AFA" w:rsidRDefault="002E6AFA">
      <w:pPr>
        <w:pStyle w:val="ConsPlusNormal"/>
        <w:jc w:val="both"/>
      </w:pPr>
      <w:r>
        <w:t xml:space="preserve">(в ред. постановлений Минобразования от 04.10.2019 </w:t>
      </w:r>
      <w:hyperlink r:id="rId13" w:history="1">
        <w:r>
          <w:rPr>
            <w:color w:val="0000FF"/>
          </w:rPr>
          <w:t>N 161</w:t>
        </w:r>
      </w:hyperlink>
      <w:r>
        <w:t xml:space="preserve">, от 30.09.2022 </w:t>
      </w:r>
      <w:hyperlink r:id="rId14" w:history="1">
        <w:r>
          <w:rPr>
            <w:color w:val="0000FF"/>
          </w:rPr>
          <w:t>N 351</w:t>
        </w:r>
      </w:hyperlink>
      <w:r>
        <w:t>)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 xml:space="preserve">3.3. компенсация осуществляется по </w:t>
      </w:r>
      <w:hyperlink w:anchor="P87" w:history="1">
        <w:r>
          <w:rPr>
            <w:color w:val="0000FF"/>
          </w:rPr>
          <w:t>перечню</w:t>
        </w:r>
      </w:hyperlink>
      <w:r>
        <w:t xml:space="preserve"> должностей педагогических работников, которым производится ежемесячная компенсация расходов на приобретение учебной и методической литературы, согласно приложению;</w:t>
      </w:r>
    </w:p>
    <w:p w:rsidR="002E6AFA" w:rsidRDefault="002E6AF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04.10.2019 N 161)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3.4. компенсация должна быть использована по целевому назначению.</w:t>
      </w:r>
    </w:p>
    <w:p w:rsidR="002E6AFA" w:rsidRDefault="002E6AFA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 и распространяет свое действие на отношения, возникшие с 1 октября 2011 г.</w:t>
      </w:r>
    </w:p>
    <w:p w:rsidR="002E6AFA" w:rsidRDefault="002E6AFA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E6AF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6AFA" w:rsidRDefault="002E6AFA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6AFA" w:rsidRDefault="002E6AFA">
            <w:pPr>
              <w:pStyle w:val="ConsPlusNormal"/>
              <w:jc w:val="right"/>
            </w:pPr>
            <w:proofErr w:type="spellStart"/>
            <w:r>
              <w:t>С.А.Маскевич</w:t>
            </w:r>
            <w:proofErr w:type="spellEnd"/>
          </w:p>
        </w:tc>
      </w:tr>
    </w:tbl>
    <w:p w:rsidR="002E6AFA" w:rsidRDefault="002E6AFA">
      <w:pPr>
        <w:pStyle w:val="ConsPlusNormal"/>
      </w:pPr>
    </w:p>
    <w:p w:rsidR="002E6AFA" w:rsidRDefault="002E6AFA">
      <w:pPr>
        <w:pStyle w:val="ConsPlusNonformat"/>
        <w:jc w:val="both"/>
      </w:pPr>
      <w:r>
        <w:t xml:space="preserve">СОГЛАСОВАНО                         </w:t>
      </w:r>
      <w:proofErr w:type="spellStart"/>
      <w:r>
        <w:t>СОГЛАСОВАНО</w:t>
      </w:r>
      <w:proofErr w:type="spellEnd"/>
    </w:p>
    <w:p w:rsidR="002E6AFA" w:rsidRDefault="002E6AFA">
      <w:pPr>
        <w:pStyle w:val="ConsPlusNonformat"/>
        <w:jc w:val="both"/>
      </w:pPr>
      <w:r>
        <w:t>Министр финансов                    Министр труда</w:t>
      </w:r>
    </w:p>
    <w:p w:rsidR="002E6AFA" w:rsidRDefault="002E6AFA">
      <w:pPr>
        <w:pStyle w:val="ConsPlusNonformat"/>
        <w:jc w:val="both"/>
      </w:pPr>
      <w:r>
        <w:t>Республики Беларусь                 и социальной защиты</w:t>
      </w:r>
    </w:p>
    <w:p w:rsidR="002E6AFA" w:rsidRDefault="002E6AFA">
      <w:pPr>
        <w:pStyle w:val="ConsPlusNonformat"/>
        <w:jc w:val="both"/>
      </w:pPr>
      <w:r>
        <w:t xml:space="preserve">        </w:t>
      </w:r>
      <w:proofErr w:type="spellStart"/>
      <w:r>
        <w:t>А.М.Харковец</w:t>
      </w:r>
      <w:proofErr w:type="spellEnd"/>
      <w:r>
        <w:t xml:space="preserve">                Республики Беларусь</w:t>
      </w:r>
    </w:p>
    <w:p w:rsidR="002E6AFA" w:rsidRDefault="002E6AFA">
      <w:pPr>
        <w:pStyle w:val="ConsPlusNonformat"/>
        <w:jc w:val="both"/>
      </w:pPr>
      <w:r>
        <w:t xml:space="preserve">04.10.2011                                  </w:t>
      </w:r>
      <w:proofErr w:type="spellStart"/>
      <w:r>
        <w:t>М.А.Щеткина</w:t>
      </w:r>
      <w:proofErr w:type="spellEnd"/>
    </w:p>
    <w:p w:rsidR="002E6AFA" w:rsidRDefault="002E6AFA">
      <w:pPr>
        <w:pStyle w:val="ConsPlusNonformat"/>
        <w:jc w:val="both"/>
      </w:pPr>
      <w:r>
        <w:t xml:space="preserve">                                    27.09.2011</w:t>
      </w:r>
    </w:p>
    <w:p w:rsidR="002E6AFA" w:rsidRDefault="002E6AFA">
      <w:pPr>
        <w:pStyle w:val="ConsPlusNormal"/>
      </w:pPr>
    </w:p>
    <w:p w:rsidR="002E6AFA" w:rsidRDefault="002E6AFA">
      <w:pPr>
        <w:pStyle w:val="ConsPlusNonformat"/>
        <w:jc w:val="both"/>
      </w:pPr>
      <w:r>
        <w:t xml:space="preserve">СОГЛАСОВАНО                         </w:t>
      </w:r>
      <w:proofErr w:type="spellStart"/>
      <w:r>
        <w:t>СОГЛАСОВАНО</w:t>
      </w:r>
      <w:proofErr w:type="spellEnd"/>
    </w:p>
    <w:p w:rsidR="002E6AFA" w:rsidRDefault="002E6AFA">
      <w:pPr>
        <w:pStyle w:val="ConsPlusNonformat"/>
        <w:jc w:val="both"/>
      </w:pPr>
      <w:r>
        <w:t>Первый заместитель председателя     Председатель</w:t>
      </w:r>
    </w:p>
    <w:p w:rsidR="002E6AFA" w:rsidRDefault="002E6AFA">
      <w:pPr>
        <w:pStyle w:val="ConsPlusNonformat"/>
        <w:jc w:val="both"/>
      </w:pPr>
      <w:r>
        <w:t>Брестского областного               Витебского областного</w:t>
      </w:r>
    </w:p>
    <w:p w:rsidR="002E6AFA" w:rsidRDefault="002E6AFA">
      <w:pPr>
        <w:pStyle w:val="ConsPlusNonformat"/>
        <w:jc w:val="both"/>
      </w:pPr>
      <w:r>
        <w:t>исполнительного комитета            исполнительного комитета</w:t>
      </w:r>
    </w:p>
    <w:p w:rsidR="002E6AFA" w:rsidRDefault="002E6AFA">
      <w:pPr>
        <w:pStyle w:val="ConsPlusNonformat"/>
        <w:jc w:val="both"/>
      </w:pPr>
      <w:r>
        <w:t xml:space="preserve">        </w:t>
      </w:r>
      <w:proofErr w:type="spellStart"/>
      <w:r>
        <w:t>М.И.Юхимук</w:t>
      </w:r>
      <w:proofErr w:type="spellEnd"/>
      <w:r>
        <w:t xml:space="preserve">                          </w:t>
      </w:r>
      <w:proofErr w:type="spellStart"/>
      <w:r>
        <w:t>А.Н.Косинец</w:t>
      </w:r>
      <w:proofErr w:type="spellEnd"/>
    </w:p>
    <w:p w:rsidR="002E6AFA" w:rsidRDefault="002E6AFA">
      <w:pPr>
        <w:pStyle w:val="ConsPlusNonformat"/>
        <w:jc w:val="both"/>
      </w:pPr>
      <w:r>
        <w:t>07.10.2011                          25.08.2011</w:t>
      </w:r>
    </w:p>
    <w:p w:rsidR="002E6AFA" w:rsidRDefault="002E6AFA">
      <w:pPr>
        <w:pStyle w:val="ConsPlusNormal"/>
      </w:pPr>
    </w:p>
    <w:p w:rsidR="002E6AFA" w:rsidRDefault="002E6AFA">
      <w:pPr>
        <w:pStyle w:val="ConsPlusNonformat"/>
        <w:jc w:val="both"/>
      </w:pPr>
      <w:r>
        <w:t xml:space="preserve">СОГЛАСОВАНО                         </w:t>
      </w:r>
      <w:proofErr w:type="spellStart"/>
      <w:r>
        <w:t>СОГЛАСОВАНО</w:t>
      </w:r>
      <w:proofErr w:type="spellEnd"/>
    </w:p>
    <w:p w:rsidR="002E6AFA" w:rsidRDefault="002E6AFA">
      <w:pPr>
        <w:pStyle w:val="ConsPlusNonformat"/>
        <w:jc w:val="both"/>
      </w:pPr>
      <w:r>
        <w:t xml:space="preserve">Председатель                        </w:t>
      </w:r>
      <w:proofErr w:type="spellStart"/>
      <w:r>
        <w:t>Председатель</w:t>
      </w:r>
      <w:proofErr w:type="spellEnd"/>
    </w:p>
    <w:p w:rsidR="002E6AFA" w:rsidRDefault="002E6AFA">
      <w:pPr>
        <w:pStyle w:val="ConsPlusNonformat"/>
        <w:jc w:val="both"/>
      </w:pPr>
      <w:r>
        <w:t>Гомельского областного              Гродненского областного</w:t>
      </w:r>
    </w:p>
    <w:p w:rsidR="002E6AFA" w:rsidRDefault="002E6AFA">
      <w:pPr>
        <w:pStyle w:val="ConsPlusNonformat"/>
        <w:jc w:val="both"/>
      </w:pPr>
      <w:r>
        <w:t>исполнительного комитета            исполнительного комитета</w:t>
      </w:r>
    </w:p>
    <w:p w:rsidR="002E6AFA" w:rsidRDefault="002E6AFA">
      <w:pPr>
        <w:pStyle w:val="ConsPlusNonformat"/>
        <w:jc w:val="both"/>
      </w:pPr>
      <w:r>
        <w:t xml:space="preserve">        </w:t>
      </w:r>
      <w:proofErr w:type="spellStart"/>
      <w:r>
        <w:t>В.А.Дворник</w:t>
      </w:r>
      <w:proofErr w:type="spellEnd"/>
      <w:r>
        <w:t xml:space="preserve">                         </w:t>
      </w:r>
      <w:proofErr w:type="spellStart"/>
      <w:r>
        <w:t>С.Б.Шапиро</w:t>
      </w:r>
      <w:proofErr w:type="spellEnd"/>
    </w:p>
    <w:p w:rsidR="002E6AFA" w:rsidRDefault="002E6AFA">
      <w:pPr>
        <w:pStyle w:val="ConsPlusNonformat"/>
        <w:jc w:val="both"/>
      </w:pPr>
      <w:r>
        <w:t>07.10.2011                          26.08.2011</w:t>
      </w:r>
    </w:p>
    <w:p w:rsidR="002E6AFA" w:rsidRDefault="002E6AFA">
      <w:pPr>
        <w:pStyle w:val="ConsPlusNormal"/>
      </w:pPr>
    </w:p>
    <w:p w:rsidR="002E6AFA" w:rsidRDefault="002E6AFA">
      <w:pPr>
        <w:pStyle w:val="ConsPlusNonformat"/>
        <w:jc w:val="both"/>
      </w:pPr>
      <w:r>
        <w:t xml:space="preserve">СОГЛАСОВАНО                         </w:t>
      </w:r>
      <w:proofErr w:type="spellStart"/>
      <w:r>
        <w:t>СОГЛАСОВАНО</w:t>
      </w:r>
      <w:proofErr w:type="spellEnd"/>
    </w:p>
    <w:p w:rsidR="002E6AFA" w:rsidRDefault="002E6AFA">
      <w:pPr>
        <w:pStyle w:val="ConsPlusNonformat"/>
        <w:jc w:val="both"/>
      </w:pPr>
      <w:r>
        <w:t>Председатель                        Первый заместитель председателя</w:t>
      </w:r>
    </w:p>
    <w:p w:rsidR="002E6AFA" w:rsidRDefault="002E6AFA">
      <w:pPr>
        <w:pStyle w:val="ConsPlusNonformat"/>
        <w:jc w:val="both"/>
      </w:pPr>
      <w:r>
        <w:t>Минского областного                 Могилевского областного</w:t>
      </w:r>
    </w:p>
    <w:p w:rsidR="002E6AFA" w:rsidRDefault="002E6AFA">
      <w:pPr>
        <w:pStyle w:val="ConsPlusNonformat"/>
        <w:jc w:val="both"/>
      </w:pPr>
      <w:r>
        <w:t>исполнительного комитета            исполнительного комитета</w:t>
      </w:r>
    </w:p>
    <w:p w:rsidR="002E6AFA" w:rsidRDefault="002E6AFA">
      <w:pPr>
        <w:pStyle w:val="ConsPlusNonformat"/>
        <w:jc w:val="both"/>
      </w:pPr>
      <w:r>
        <w:t xml:space="preserve">        </w:t>
      </w:r>
      <w:proofErr w:type="spellStart"/>
      <w:r>
        <w:t>Б.В.Батура</w:t>
      </w:r>
      <w:proofErr w:type="spellEnd"/>
      <w:r>
        <w:t xml:space="preserve">                          </w:t>
      </w:r>
      <w:proofErr w:type="spellStart"/>
      <w:r>
        <w:t>В.В.Кравцов</w:t>
      </w:r>
      <w:proofErr w:type="spellEnd"/>
    </w:p>
    <w:p w:rsidR="002E6AFA" w:rsidRDefault="002E6AFA">
      <w:pPr>
        <w:pStyle w:val="ConsPlusNonformat"/>
        <w:jc w:val="both"/>
      </w:pPr>
      <w:r>
        <w:t>11.10.2011                          07.10.2011</w:t>
      </w:r>
    </w:p>
    <w:p w:rsidR="002E6AFA" w:rsidRDefault="002E6AFA">
      <w:pPr>
        <w:pStyle w:val="ConsPlusNormal"/>
      </w:pPr>
    </w:p>
    <w:p w:rsidR="002E6AFA" w:rsidRDefault="002E6AFA">
      <w:pPr>
        <w:pStyle w:val="ConsPlusNonformat"/>
        <w:jc w:val="both"/>
      </w:pPr>
      <w:r>
        <w:t>СОГЛАСОВАНО</w:t>
      </w:r>
    </w:p>
    <w:p w:rsidR="002E6AFA" w:rsidRDefault="002E6AFA">
      <w:pPr>
        <w:pStyle w:val="ConsPlusNonformat"/>
        <w:jc w:val="both"/>
      </w:pPr>
      <w:r>
        <w:t>Председатель</w:t>
      </w:r>
    </w:p>
    <w:p w:rsidR="002E6AFA" w:rsidRDefault="002E6AFA">
      <w:pPr>
        <w:pStyle w:val="ConsPlusNonformat"/>
        <w:jc w:val="both"/>
      </w:pPr>
      <w:r>
        <w:t>Минского городского</w:t>
      </w:r>
    </w:p>
    <w:p w:rsidR="002E6AFA" w:rsidRDefault="002E6AFA">
      <w:pPr>
        <w:pStyle w:val="ConsPlusNonformat"/>
        <w:jc w:val="both"/>
      </w:pPr>
      <w:r>
        <w:t>исполнительного комитета</w:t>
      </w:r>
    </w:p>
    <w:p w:rsidR="002E6AFA" w:rsidRDefault="002E6AFA">
      <w:pPr>
        <w:pStyle w:val="ConsPlusNonformat"/>
        <w:jc w:val="both"/>
      </w:pPr>
      <w:r>
        <w:t xml:space="preserve">        </w:t>
      </w:r>
      <w:proofErr w:type="spellStart"/>
      <w:r>
        <w:t>Н.А.Ладутько</w:t>
      </w:r>
      <w:proofErr w:type="spellEnd"/>
    </w:p>
    <w:p w:rsidR="002E6AFA" w:rsidRDefault="002E6AFA">
      <w:pPr>
        <w:pStyle w:val="ConsPlusNonformat"/>
        <w:jc w:val="both"/>
      </w:pPr>
      <w:r>
        <w:t>29.08.2011</w:t>
      </w:r>
    </w:p>
    <w:p w:rsidR="002E6AFA" w:rsidRDefault="002E6AFA">
      <w:pPr>
        <w:pStyle w:val="ConsPlusNormal"/>
      </w:pPr>
    </w:p>
    <w:p w:rsidR="002E6AFA" w:rsidRDefault="002E6AFA">
      <w:pPr>
        <w:pStyle w:val="ConsPlusNormal"/>
      </w:pPr>
    </w:p>
    <w:p w:rsidR="002E6AFA" w:rsidRDefault="002E6AFA">
      <w:pPr>
        <w:pStyle w:val="ConsPlusNormal"/>
      </w:pPr>
    </w:p>
    <w:p w:rsidR="002E6AFA" w:rsidRDefault="002E6AFA">
      <w:pPr>
        <w:pStyle w:val="ConsPlusNormal"/>
        <w:jc w:val="right"/>
        <w:outlineLvl w:val="0"/>
      </w:pPr>
      <w:bookmarkStart w:id="1" w:name="_GoBack"/>
      <w:bookmarkEnd w:id="1"/>
      <w:r>
        <w:lastRenderedPageBreak/>
        <w:t>Приложение</w:t>
      </w:r>
    </w:p>
    <w:p w:rsidR="002E6AFA" w:rsidRDefault="002E6AFA">
      <w:pPr>
        <w:pStyle w:val="ConsPlusNormal"/>
        <w:jc w:val="right"/>
      </w:pPr>
      <w:r>
        <w:t>к постановлению</w:t>
      </w:r>
    </w:p>
    <w:p w:rsidR="002E6AFA" w:rsidRDefault="002E6AFA">
      <w:pPr>
        <w:pStyle w:val="ConsPlusNormal"/>
        <w:jc w:val="right"/>
      </w:pPr>
      <w:r>
        <w:t>Министерства образования</w:t>
      </w:r>
    </w:p>
    <w:p w:rsidR="002E6AFA" w:rsidRDefault="002E6AFA">
      <w:pPr>
        <w:pStyle w:val="ConsPlusNormal"/>
        <w:jc w:val="right"/>
      </w:pPr>
      <w:r>
        <w:t>Республики Беларусь</w:t>
      </w:r>
    </w:p>
    <w:p w:rsidR="002E6AFA" w:rsidRDefault="002E6AFA">
      <w:pPr>
        <w:pStyle w:val="ConsPlusNormal"/>
        <w:jc w:val="right"/>
      </w:pPr>
      <w:r>
        <w:t>19.10.2011 N 273</w:t>
      </w:r>
    </w:p>
    <w:p w:rsidR="002E6AFA" w:rsidRDefault="002E6AFA">
      <w:pPr>
        <w:pStyle w:val="ConsPlusNormal"/>
        <w:jc w:val="right"/>
      </w:pPr>
      <w:r>
        <w:t>(в редакции постановления</w:t>
      </w:r>
    </w:p>
    <w:p w:rsidR="002E6AFA" w:rsidRDefault="002E6AFA">
      <w:pPr>
        <w:pStyle w:val="ConsPlusNormal"/>
        <w:jc w:val="right"/>
      </w:pPr>
      <w:r>
        <w:t>Министерства образования</w:t>
      </w:r>
    </w:p>
    <w:p w:rsidR="002E6AFA" w:rsidRDefault="002E6AFA">
      <w:pPr>
        <w:pStyle w:val="ConsPlusNormal"/>
        <w:jc w:val="right"/>
      </w:pPr>
      <w:r>
        <w:t>Республики Беларусь</w:t>
      </w:r>
    </w:p>
    <w:p w:rsidR="002E6AFA" w:rsidRDefault="002E6AFA">
      <w:pPr>
        <w:pStyle w:val="ConsPlusNormal"/>
        <w:jc w:val="right"/>
      </w:pPr>
      <w:r>
        <w:t>30.09.2022 N 351)</w:t>
      </w:r>
    </w:p>
    <w:p w:rsidR="002E6AFA" w:rsidRDefault="002E6AFA">
      <w:pPr>
        <w:pStyle w:val="ConsPlusNormal"/>
      </w:pPr>
    </w:p>
    <w:p w:rsidR="002E6AFA" w:rsidRDefault="002E6AFA">
      <w:pPr>
        <w:pStyle w:val="ConsPlusTitle"/>
        <w:jc w:val="center"/>
      </w:pPr>
      <w:bookmarkStart w:id="2" w:name="P87"/>
      <w:bookmarkEnd w:id="2"/>
      <w:r>
        <w:t>ПЕРЕЧЕНЬ</w:t>
      </w:r>
    </w:p>
    <w:p w:rsidR="002E6AFA" w:rsidRDefault="002E6AFA">
      <w:pPr>
        <w:pStyle w:val="ConsPlusTitle"/>
        <w:jc w:val="center"/>
      </w:pPr>
      <w:r>
        <w:t>ДОЛЖНОСТЕЙ ПЕДАГОГИЧЕСКИХ РАБОТНИКОВ, КОТОРЫМ ПРОИЗВОДИТСЯ ЕЖЕМЕСЯЧНАЯ КОМПЕНСАЦИЯ РАСХОДОВ НА ПРИОБРЕТЕНИЕ УЧЕБНОЙ И МЕТОДИЧЕСКОЙ ЛИТЕРАТУРЫ</w:t>
      </w:r>
    </w:p>
    <w:p w:rsidR="002E6AFA" w:rsidRDefault="002E6AFA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Минобразования от 30.09.2022 N 351)</w:t>
      </w:r>
    </w:p>
    <w:p w:rsidR="002E6AFA" w:rsidRDefault="002E6A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4215"/>
        <w:gridCol w:w="4275"/>
      </w:tblGrid>
      <w:tr w:rsidR="002E6AFA">
        <w:tc>
          <w:tcPr>
            <w:tcW w:w="630" w:type="dxa"/>
          </w:tcPr>
          <w:p w:rsidR="002E6AFA" w:rsidRDefault="002E6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15" w:type="dxa"/>
          </w:tcPr>
          <w:p w:rsidR="002E6AFA" w:rsidRDefault="002E6AFA">
            <w:pPr>
              <w:pStyle w:val="ConsPlusNormal"/>
            </w:pPr>
            <w:r>
              <w:t>Учреждения дошкольного образования</w:t>
            </w:r>
            <w:r>
              <w:br/>
              <w:t>Детские дома</w:t>
            </w:r>
            <w:r>
              <w:br/>
              <w:t>Учреждения общего среднего образования и структурные подразделения учреждений высшего образования при реализации образовательных программ общего среднего образования</w:t>
            </w:r>
            <w:r>
              <w:br/>
              <w:t>Учреждения специального образования</w:t>
            </w:r>
            <w:r>
              <w:br/>
              <w:t>Учреждения среднего специального образования и иные учреждения образования при реализации образовательных программ профессионально-технического образования</w:t>
            </w:r>
            <w:r>
              <w:br/>
              <w:t>Специальные учебно-воспитательные учреждения</w:t>
            </w:r>
            <w:r>
              <w:br/>
              <w:t>Специальные лечебно-воспитательные учреждения</w:t>
            </w:r>
            <w:r>
              <w:br/>
            </w:r>
            <w:proofErr w:type="spellStart"/>
            <w:r>
              <w:t>Учреждения</w:t>
            </w:r>
            <w:proofErr w:type="spellEnd"/>
            <w:r>
              <w:t xml:space="preserve"> дополнительного образования детей и молодежи</w:t>
            </w:r>
            <w:r>
              <w:br/>
            </w:r>
            <w:proofErr w:type="spellStart"/>
            <w:r>
              <w:t>Воспитательно</w:t>
            </w:r>
            <w:proofErr w:type="spellEnd"/>
            <w:r>
              <w:t>-оздоровительные учреждения образования</w:t>
            </w:r>
          </w:p>
        </w:tc>
        <w:tc>
          <w:tcPr>
            <w:tcW w:w="4275" w:type="dxa"/>
          </w:tcPr>
          <w:p w:rsidR="002E6AFA" w:rsidRDefault="002E6AFA">
            <w:pPr>
              <w:pStyle w:val="ConsPlusNormal"/>
            </w:pPr>
            <w:r>
              <w:t xml:space="preserve">Учителя, учителя-дефектологи (учителя-логопеды, тифлопедагоги, сурдопедагоги, </w:t>
            </w:r>
            <w:proofErr w:type="spellStart"/>
            <w:r>
              <w:t>олигофренопедагоги</w:t>
            </w:r>
            <w:proofErr w:type="spellEnd"/>
            <w:r>
              <w:t>)</w:t>
            </w:r>
            <w:r>
              <w:br/>
              <w:t>Преподаватели</w:t>
            </w:r>
            <w:r>
              <w:br/>
              <w:t>Педагоги-организаторы</w:t>
            </w:r>
            <w:r>
              <w:br/>
              <w:t>Педагоги-психологи</w:t>
            </w:r>
            <w:r>
              <w:br/>
              <w:t>Педагоги социальные</w:t>
            </w:r>
            <w:r>
              <w:br/>
              <w:t>Методисты</w:t>
            </w:r>
            <w:r>
              <w:br/>
              <w:t>Руководители физического воспитания</w:t>
            </w:r>
            <w:r>
              <w:br/>
              <w:t xml:space="preserve">Инструкторы по физической культуре </w:t>
            </w:r>
            <w:r>
              <w:br/>
            </w:r>
            <w:proofErr w:type="spellStart"/>
            <w:r>
              <w:t>Культорганизаторы</w:t>
            </w:r>
            <w:proofErr w:type="spellEnd"/>
            <w:r>
              <w:br/>
              <w:t>Аккомпаниаторы</w:t>
            </w:r>
            <w:r>
              <w:br/>
              <w:t>Концертмейстеры</w:t>
            </w:r>
            <w:r>
              <w:br/>
              <w:t>Музыкальные руководители</w:t>
            </w:r>
            <w:r>
              <w:br/>
              <w:t>Педагоги дополнительного образования</w:t>
            </w:r>
            <w:r>
              <w:br/>
              <w:t>Руководители (директора, заведующие, начальники) учреждений (филиалов) и их заместители по учебной (учебно-воспитательной), учебно-методической, воспитательной работе</w:t>
            </w:r>
            <w:r>
              <w:br/>
              <w:t>Заместители директоров по учебно-производственной работе</w:t>
            </w:r>
            <w:r>
              <w:br/>
              <w:t>Заместители директоров по производственному обучению</w:t>
            </w:r>
            <w:r>
              <w:br/>
              <w:t>Заместители директоров по режиму</w:t>
            </w:r>
            <w:r>
              <w:br/>
              <w:t>Заведующие отделениями</w:t>
            </w:r>
            <w:r>
              <w:br/>
              <w:t>Заведующие лабораториями</w:t>
            </w:r>
            <w:r>
              <w:br/>
              <w:t>Заведующие отделами (секторами, кабинетами) по основной деятельности</w:t>
            </w:r>
            <w:r>
              <w:br/>
              <w:t>Заведующие</w:t>
            </w:r>
            <w:r>
              <w:br/>
              <w:t>производственными (учебно-производственными) мастерскими, учебно-консультационными пунктами, общежитиями (учреждений общего среднего и специального образования)</w:t>
            </w:r>
            <w:r>
              <w:br/>
              <w:t>Мастера производственного обучения учреждения образования</w:t>
            </w:r>
            <w:r>
              <w:br/>
              <w:t>Старшие мастера</w:t>
            </w:r>
          </w:p>
        </w:tc>
      </w:tr>
      <w:tr w:rsidR="002E6AFA">
        <w:tc>
          <w:tcPr>
            <w:tcW w:w="630" w:type="dxa"/>
          </w:tcPr>
          <w:p w:rsidR="002E6AFA" w:rsidRDefault="002E6AF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215" w:type="dxa"/>
          </w:tcPr>
          <w:p w:rsidR="002E6AFA" w:rsidRDefault="002E6AFA">
            <w:pPr>
              <w:pStyle w:val="ConsPlusNormal"/>
            </w:pPr>
            <w:r>
              <w:t>Учреждения дошкольного образования</w:t>
            </w:r>
            <w:r>
              <w:br/>
              <w:t>Детские дома</w:t>
            </w:r>
            <w:r>
              <w:br/>
            </w:r>
            <w:proofErr w:type="spellStart"/>
            <w:r>
              <w:t>Дома</w:t>
            </w:r>
            <w:proofErr w:type="spellEnd"/>
            <w:r>
              <w:t xml:space="preserve"> ребенка</w:t>
            </w:r>
            <w:r>
              <w:br/>
              <w:t>Учреждения общего среднего образования</w:t>
            </w:r>
            <w:r>
              <w:br/>
              <w:t>Специальные школы закрытого типа</w:t>
            </w:r>
            <w:r>
              <w:br/>
              <w:t>Специальные лечебно-воспитательные школы закрытого типа</w:t>
            </w:r>
            <w:r>
              <w:br/>
              <w:t>Учреждения специального образования (кроме центров коррекционно-развивающего обучения и реабилитации)</w:t>
            </w:r>
          </w:p>
        </w:tc>
        <w:tc>
          <w:tcPr>
            <w:tcW w:w="4275" w:type="dxa"/>
          </w:tcPr>
          <w:p w:rsidR="002E6AFA" w:rsidRDefault="002E6AFA">
            <w:pPr>
              <w:pStyle w:val="ConsPlusNormal"/>
            </w:pPr>
            <w:r>
              <w:t>Воспитатели (воспитатели-методисты)</w:t>
            </w:r>
            <w:r>
              <w:br/>
              <w:t>Воспитатели дошкольного образования</w:t>
            </w:r>
          </w:p>
        </w:tc>
      </w:tr>
    </w:tbl>
    <w:p w:rsidR="002E6AFA" w:rsidRDefault="002E6AFA">
      <w:pPr>
        <w:pStyle w:val="ConsPlusNormal"/>
      </w:pPr>
    </w:p>
    <w:p w:rsidR="002E6AFA" w:rsidRDefault="002E6AFA">
      <w:pPr>
        <w:pStyle w:val="ConsPlusNormal"/>
      </w:pPr>
    </w:p>
    <w:p w:rsidR="002E6AFA" w:rsidRDefault="002E6A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7F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FA"/>
    <w:rsid w:val="002E6AFA"/>
    <w:rsid w:val="003C0F24"/>
    <w:rsid w:val="004310D3"/>
    <w:rsid w:val="006847C3"/>
    <w:rsid w:val="008C002E"/>
    <w:rsid w:val="008E5C34"/>
    <w:rsid w:val="00996F21"/>
    <w:rsid w:val="009A3767"/>
    <w:rsid w:val="00AA0A03"/>
    <w:rsid w:val="00D13F72"/>
    <w:rsid w:val="00DD0AE0"/>
    <w:rsid w:val="00E93270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3A7A1-72C4-452E-ACD5-DDEF0582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A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6A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03368E7B70593FC5CEF38E71E1B44E8BD782F308E175A9484138F09433D982151A838F87F17377BA169019C77C5D9DBE3BA8E962F3C10345EF8AF49ADAR0N" TargetMode="External"/><Relationship Id="rId13" Type="http://schemas.openxmlformats.org/officeDocument/2006/relationships/hyperlink" Target="consultantplus://offline/ref=3E03368E7B70593FC5CEF38E71E1B44E8BD782F308E175A9484138F09433D982151A838F87F17377BA169019C77E5D9DBE3BA8E962F3C10345EF8AF49ADAR0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03368E7B70593FC5CEF38E71E1B44E8BD782F308E27DAC494332F09433D982151A838F87F17377BA169019C3795D9DBE3BA8E962F3C10345EF8AF49ADAR0N" TargetMode="External"/><Relationship Id="rId12" Type="http://schemas.openxmlformats.org/officeDocument/2006/relationships/hyperlink" Target="consultantplus://offline/ref=3E03368E7B70593FC5CEF38E71E1B44E8BD782F308E27DAC494332F09433D982151A838F87F17377BA169019C0795D9DBE3BA8E962F3C10345EF8AF49ADAR0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03368E7B70593FC5CEF38E71E1B44E8BD782F308E27DAC494332F09433D982151A838F87F17377BA169019C07B5D9DBE3BA8E962F3C10345EF8AF49ADAR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03368E7B70593FC5CEF38E71E1B44E8BD782F308E174A8424130F09433D982151A838F87F17377BA16941EC6785D9DBE3BA8E962F3C10345EF8AF49ADAR0N" TargetMode="External"/><Relationship Id="rId11" Type="http://schemas.openxmlformats.org/officeDocument/2006/relationships/hyperlink" Target="consultantplus://offline/ref=3E03368E7B70593FC5CEF38E71E1B44E8BD782F308E27DAC494332F09433D982151A838F87F17377BA169019C3715D9DBE3BA8E962F3C10345EF8AF49ADAR0N" TargetMode="External"/><Relationship Id="rId5" Type="http://schemas.openxmlformats.org/officeDocument/2006/relationships/hyperlink" Target="consultantplus://offline/ref=3E03368E7B70593FC5CEF38E71E1B44E8BD782F308E27DAC494332F09433D982151A838F87F17377BA169019C2705D9DBE3BA8E962F3C10345EF8AF49ADAR0N" TargetMode="External"/><Relationship Id="rId15" Type="http://schemas.openxmlformats.org/officeDocument/2006/relationships/hyperlink" Target="consultantplus://offline/ref=3E03368E7B70593FC5CEF38E71E1B44E8BD782F308E175A9484138F09433D982151A838F87F17377BA169019C7715D9DBE3BA8E962F3C10345EF8AF49ADAR0N" TargetMode="External"/><Relationship Id="rId10" Type="http://schemas.openxmlformats.org/officeDocument/2006/relationships/hyperlink" Target="consultantplus://offline/ref=3E03368E7B70593FC5CEF38E71E1B44E8BD782F308E27DAC494332F09433D982151A838F87F17377BA169019C37E5D9DBE3BA8E962F3C10345EF8AF49ADAR0N" TargetMode="External"/><Relationship Id="rId4" Type="http://schemas.openxmlformats.org/officeDocument/2006/relationships/hyperlink" Target="consultantplus://offline/ref=3E03368E7B70593FC5CEF38E71E1B44E8BD782F308E175A9484138F09433D982151A838F87F17377BA169019C77D5D9DBE3BA8E962F3C10345EF8AF49ADAR0N" TargetMode="External"/><Relationship Id="rId9" Type="http://schemas.openxmlformats.org/officeDocument/2006/relationships/hyperlink" Target="consultantplus://offline/ref=3E03368E7B70593FC5CEF38E71E1B44E8BD782F308E27DAC494332F09433D982151A838F87F17377BA169019C37A5D9DBE3BA8E962F3C10345EF8AF49ADAR0N" TargetMode="External"/><Relationship Id="rId14" Type="http://schemas.openxmlformats.org/officeDocument/2006/relationships/hyperlink" Target="consultantplus://offline/ref=3E03368E7B70593FC5CEF38E71E1B44E8BD782F308E27DAC494332F09433D982151A838F87F17377BA169019C0785D9DBE3BA8E962F3C10345EF8AF49ADAR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2023-04-06T13:17:00Z</dcterms:created>
  <dcterms:modified xsi:type="dcterms:W3CDTF">2023-04-06T13:18:00Z</dcterms:modified>
</cp:coreProperties>
</file>